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405319">
      <w:bookmarkStart w:id="0" w:name="_GoBack"/>
      <w:bookmarkEnd w:id="0"/>
    </w:p>
    <w:tbl>
      <w:tblPr>
        <w:tblStyle w:val="Tabelraster"/>
        <w:tblW w:w="5000" w:type="pct"/>
        <w:tblBorders>
          <w:top w:val="nil"/>
          <w:left w:val="nil"/>
          <w:bottom w:val="nil"/>
          <w:right w:val="nil"/>
          <w:insideH w:val="nil"/>
          <w:insideV w:val="nil"/>
        </w:tblBorders>
        <w:tblLook w:val="04A0" w:firstRow="1" w:lastRow="0" w:firstColumn="1" w:lastColumn="0" w:noHBand="0" w:noVBand="1"/>
      </w:tblPr>
      <w:tblGrid>
        <w:gridCol w:w="2697"/>
        <w:gridCol w:w="7167"/>
      </w:tblGrid>
      <w:tr w:rsidR="004439AD" w:rsidTr="00BF329A">
        <w:tc>
          <w:tcPr>
            <w:tcW w:w="5000" w:type="pct"/>
            <w:gridSpan w:val="2"/>
          </w:tcPr>
          <w:p w:rsidR="00B55B24" w:rsidRDefault="00405319" w:rsidP="00693ED3">
            <w:pPr>
              <w:jc w:val="center"/>
              <w:rPr>
                <w:b/>
                <w:sz w:val="33"/>
                <w:szCs w:val="33"/>
              </w:rPr>
            </w:pPr>
            <w:r>
              <w:rPr>
                <w:b/>
                <w:sz w:val="33"/>
                <w:szCs w:val="33"/>
              </w:rPr>
              <w:t>UITTREKSEL UIT DE NOTULEN VAN DE GEMEENTERAAD</w:t>
            </w:r>
          </w:p>
        </w:tc>
      </w:tr>
      <w:tr w:rsidR="004439AD" w:rsidTr="00BF329A">
        <w:tc>
          <w:tcPr>
            <w:tcW w:w="5000" w:type="pct"/>
            <w:gridSpan w:val="2"/>
          </w:tcPr>
          <w:p w:rsidR="00B55B24" w:rsidRPr="00B55B24" w:rsidRDefault="00405319" w:rsidP="00693ED3">
            <w:pPr>
              <w:jc w:val="center"/>
              <w:rPr>
                <w:szCs w:val="33"/>
              </w:rPr>
            </w:pPr>
          </w:p>
        </w:tc>
      </w:tr>
      <w:tr w:rsidR="004439AD" w:rsidTr="00BF329A">
        <w:tc>
          <w:tcPr>
            <w:tcW w:w="1367" w:type="pct"/>
            <w:vMerge w:val="restart"/>
          </w:tcPr>
          <w:p w:rsidR="00473850" w:rsidRPr="00542C28" w:rsidRDefault="00405319" w:rsidP="00473850">
            <w:pPr>
              <w:rPr>
                <w:sz w:val="24"/>
                <w:szCs w:val="23"/>
              </w:rPr>
            </w:pPr>
            <w:r w:rsidRPr="00542C28">
              <w:rPr>
                <w:b/>
                <w:sz w:val="24"/>
                <w:szCs w:val="23"/>
              </w:rPr>
              <w:t>Provincie</w:t>
            </w:r>
          </w:p>
          <w:p w:rsidR="00473850" w:rsidRPr="00542C28" w:rsidRDefault="00405319" w:rsidP="00473850">
            <w:pPr>
              <w:rPr>
                <w:sz w:val="24"/>
                <w:szCs w:val="23"/>
              </w:rPr>
            </w:pPr>
            <w:r w:rsidRPr="00542C28">
              <w:rPr>
                <w:b/>
                <w:sz w:val="24"/>
                <w:szCs w:val="23"/>
              </w:rPr>
              <w:t>ANTWERPEN</w:t>
            </w:r>
          </w:p>
          <w:p w:rsidR="00473850" w:rsidRPr="00542C28" w:rsidRDefault="00405319" w:rsidP="00473850">
            <w:pPr>
              <w:rPr>
                <w:sz w:val="24"/>
                <w:szCs w:val="23"/>
              </w:rPr>
            </w:pPr>
          </w:p>
          <w:p w:rsidR="00473850" w:rsidRPr="00542C28" w:rsidRDefault="00405319" w:rsidP="00473850">
            <w:pPr>
              <w:rPr>
                <w:sz w:val="24"/>
                <w:szCs w:val="23"/>
              </w:rPr>
            </w:pPr>
            <w:r w:rsidRPr="00542C28">
              <w:rPr>
                <w:b/>
                <w:sz w:val="24"/>
                <w:szCs w:val="23"/>
              </w:rPr>
              <w:t>Arrondissement</w:t>
            </w:r>
          </w:p>
          <w:p w:rsidR="00473850" w:rsidRPr="00542C28" w:rsidRDefault="00405319" w:rsidP="00473850">
            <w:pPr>
              <w:rPr>
                <w:sz w:val="24"/>
                <w:szCs w:val="23"/>
              </w:rPr>
            </w:pPr>
            <w:r w:rsidRPr="00542C28">
              <w:rPr>
                <w:b/>
                <w:sz w:val="24"/>
                <w:szCs w:val="23"/>
              </w:rPr>
              <w:t>TURNHOUT</w:t>
            </w:r>
          </w:p>
          <w:p w:rsidR="00473850" w:rsidRPr="00542C28" w:rsidRDefault="00405319" w:rsidP="00473850">
            <w:pPr>
              <w:rPr>
                <w:sz w:val="24"/>
                <w:szCs w:val="23"/>
              </w:rPr>
            </w:pPr>
          </w:p>
          <w:p w:rsidR="00473850" w:rsidRPr="00542C28" w:rsidRDefault="00405319" w:rsidP="00473850">
            <w:pPr>
              <w:rPr>
                <w:sz w:val="24"/>
                <w:szCs w:val="23"/>
              </w:rPr>
            </w:pPr>
            <w:r w:rsidRPr="00542C28">
              <w:rPr>
                <w:b/>
                <w:sz w:val="24"/>
                <w:szCs w:val="23"/>
              </w:rPr>
              <w:t>GEMEENTE</w:t>
            </w:r>
          </w:p>
          <w:p w:rsidR="00473850" w:rsidRPr="00473850" w:rsidRDefault="00405319" w:rsidP="00751014">
            <w:pPr>
              <w:rPr>
                <w:b/>
                <w:sz w:val="23"/>
                <w:szCs w:val="23"/>
              </w:rPr>
            </w:pPr>
            <w:r w:rsidRPr="00542C28">
              <w:rPr>
                <w:b/>
                <w:sz w:val="24"/>
                <w:szCs w:val="23"/>
              </w:rPr>
              <w:t>2235 Hulshout</w:t>
            </w:r>
          </w:p>
        </w:tc>
        <w:tc>
          <w:tcPr>
            <w:tcW w:w="3633" w:type="pct"/>
          </w:tcPr>
          <w:p w:rsidR="00473850" w:rsidRPr="00473850" w:rsidRDefault="00405319" w:rsidP="002F6A57">
            <w:pPr>
              <w:jc w:val="center"/>
              <w:rPr>
                <w:rFonts w:ascii="Calibri" w:hAnsi="Calibri" w:cs="Calibri"/>
                <w:bCs/>
                <w:szCs w:val="22"/>
              </w:rPr>
            </w:pPr>
            <w:r>
              <w:rPr>
                <w:b/>
                <w:sz w:val="24"/>
                <w:szCs w:val="22"/>
              </w:rPr>
              <w:t>ZITTING VAN</w:t>
            </w:r>
            <w:r w:rsidRPr="00542C28">
              <w:rPr>
                <w:b/>
                <w:sz w:val="24"/>
                <w:szCs w:val="22"/>
              </w:rPr>
              <w:t xml:space="preserve"> </w:t>
            </w:r>
            <w:r w:rsidRPr="00542C28">
              <w:rPr>
                <w:rFonts w:ascii="Calibri" w:hAnsi="Calibri" w:cs="Calibri"/>
                <w:b/>
                <w:bCs/>
                <w:sz w:val="24"/>
                <w:szCs w:val="22"/>
              </w:rPr>
              <w:t>23 JUNI 2014</w:t>
            </w:r>
          </w:p>
        </w:tc>
      </w:tr>
      <w:tr w:rsidR="004439AD" w:rsidTr="00BF329A">
        <w:tc>
          <w:tcPr>
            <w:tcW w:w="1367" w:type="pct"/>
            <w:vMerge/>
          </w:tcPr>
          <w:p w:rsidR="00693ED3" w:rsidRDefault="00405319" w:rsidP="00751014">
            <w:pPr>
              <w:rPr>
                <w:szCs w:val="22"/>
              </w:rPr>
            </w:pPr>
          </w:p>
        </w:tc>
        <w:tc>
          <w:tcPr>
            <w:tcW w:w="3633" w:type="pct"/>
          </w:tcPr>
          <w:tbl>
            <w:tblPr>
              <w:tblStyle w:val="Tabelraster"/>
              <w:tblW w:w="5000" w:type="pct"/>
              <w:tblBorders>
                <w:top w:val="nil"/>
                <w:left w:val="nil"/>
                <w:bottom w:val="nil"/>
                <w:right w:val="nil"/>
                <w:insideH w:val="nil"/>
                <w:insideV w:val="nil"/>
              </w:tblBorders>
              <w:tblLook w:val="04A0" w:firstRow="1" w:lastRow="0" w:firstColumn="1" w:lastColumn="0" w:noHBand="0" w:noVBand="1"/>
            </w:tblPr>
            <w:tblGrid>
              <w:gridCol w:w="6951"/>
            </w:tblGrid>
            <w:tr w:rsidR="004439AD" w:rsidTr="00EC4FC4">
              <w:tc>
                <w:tcPr>
                  <w:tcW w:w="5000" w:type="pct"/>
                  <w:tcBorders>
                    <w:top w:val="nil"/>
                    <w:left w:val="nil"/>
                    <w:bottom w:val="nil"/>
                    <w:right w:val="nil"/>
                  </w:tcBorders>
                  <w:hideMark/>
                </w:tcPr>
                <w:p w:rsidR="0097284B" w:rsidRPr="0085302B" w:rsidRDefault="00405319" w:rsidP="00EC4FC4">
                  <w:pPr>
                    <w:rPr>
                      <w:rFonts w:cs="Arial"/>
                      <w:szCs w:val="22"/>
                    </w:rPr>
                  </w:pPr>
                  <w:r w:rsidRPr="0085302B">
                    <w:rPr>
                      <w:rFonts w:cs="Arial"/>
                      <w:b/>
                      <w:szCs w:val="22"/>
                      <w:u w:val="single"/>
                    </w:rPr>
                    <w:t>Aanwezig:</w:t>
                  </w:r>
                </w:p>
                <w:tbl>
                  <w:tblPr>
                    <w:tblStyle w:val="Tabelraster"/>
                    <w:tblW w:w="5000" w:type="pct"/>
                    <w:tblBorders>
                      <w:top w:val="nil"/>
                      <w:left w:val="nil"/>
                      <w:bottom w:val="nil"/>
                      <w:right w:val="nil"/>
                      <w:insideH w:val="nil"/>
                      <w:insideV w:val="nil"/>
                    </w:tblBorders>
                    <w:tblLook w:val="04A0" w:firstRow="1" w:lastRow="0" w:firstColumn="1" w:lastColumn="0" w:noHBand="0" w:noVBand="1"/>
                  </w:tblPr>
                  <w:tblGrid>
                    <w:gridCol w:w="6735"/>
                  </w:tblGrid>
                  <w:tr w:rsidR="004439AD" w:rsidTr="00BF4BA5">
                    <w:tc>
                      <w:tcPr>
                        <w:tcW w:w="5000" w:type="pct"/>
                        <w:tcMar>
                          <w:top w:w="0" w:type="dxa"/>
                          <w:left w:w="0" w:type="dxa"/>
                          <w:bottom w:w="0" w:type="dxa"/>
                          <w:right w:w="0" w:type="dxa"/>
                        </w:tcMar>
                      </w:tcPr>
                      <w:p w:rsidR="004439AD" w:rsidRPr="0085302B" w:rsidRDefault="00405319" w:rsidP="00EC4FC4">
                        <w:pPr>
                          <w:rPr>
                            <w:rFonts w:cs="Arial"/>
                            <w:szCs w:val="22"/>
                          </w:rPr>
                        </w:pPr>
                        <w:r w:rsidRPr="0085302B">
                          <w:rPr>
                            <w:rFonts w:cs="Arial"/>
                            <w:szCs w:val="22"/>
                          </w:rPr>
                          <w:t>Geert Daems: burgemeester-voorzitter</w:t>
                        </w:r>
                      </w:p>
                    </w:tc>
                  </w:tr>
                  <w:tr w:rsidR="004439AD" w:rsidTr="00BF4BA5">
                    <w:tc>
                      <w:tcPr>
                        <w:tcW w:w="5000" w:type="pct"/>
                        <w:tcMar>
                          <w:top w:w="0" w:type="dxa"/>
                          <w:left w:w="0" w:type="dxa"/>
                          <w:bottom w:w="0" w:type="dxa"/>
                          <w:right w:w="0" w:type="dxa"/>
                        </w:tcMar>
                        <w:hideMark/>
                      </w:tcPr>
                      <w:p w:rsidR="004439AD" w:rsidRPr="0085302B" w:rsidRDefault="00405319" w:rsidP="00EC4FC4">
                        <w:pPr>
                          <w:rPr>
                            <w:rFonts w:cs="Arial"/>
                            <w:szCs w:val="22"/>
                          </w:rPr>
                        </w:pPr>
                        <w:r w:rsidRPr="0085302B">
                          <w:rPr>
                            <w:rFonts w:cs="Arial"/>
                            <w:szCs w:val="22"/>
                          </w:rPr>
                          <w:t>Elien Bergmans, Rist Heylen, Hilde Van Looy, Joost Verhaegen</w:t>
                        </w:r>
                        <w:r w:rsidRPr="0085302B">
                          <w:rPr>
                            <w:rFonts w:cs="Arial"/>
                            <w:szCs w:val="22"/>
                          </w:rPr>
                          <w:t>: schepenen</w:t>
                        </w:r>
                      </w:p>
                    </w:tc>
                  </w:tr>
                  <w:tr w:rsidR="004439AD" w:rsidTr="00BF4BA5">
                    <w:tc>
                      <w:tcPr>
                        <w:tcW w:w="5000" w:type="pct"/>
                        <w:tcMar>
                          <w:top w:w="0" w:type="dxa"/>
                          <w:left w:w="0" w:type="dxa"/>
                          <w:bottom w:w="0" w:type="dxa"/>
                          <w:right w:w="0" w:type="dxa"/>
                        </w:tcMar>
                        <w:hideMark/>
                      </w:tcPr>
                      <w:p w:rsidR="004439AD" w:rsidRPr="0085302B" w:rsidRDefault="00405319" w:rsidP="00EC4FC4">
                        <w:pPr>
                          <w:rPr>
                            <w:rFonts w:cs="Arial"/>
                            <w:szCs w:val="22"/>
                          </w:rPr>
                        </w:pPr>
                        <w:r w:rsidRPr="0085302B">
                          <w:rPr>
                            <w:rFonts w:cs="Arial"/>
                            <w:szCs w:val="22"/>
                          </w:rPr>
                          <w:t>Anja Leflot: schepen/</w:t>
                        </w:r>
                        <w:proofErr w:type="spellStart"/>
                        <w:r w:rsidRPr="0085302B">
                          <w:rPr>
                            <w:rFonts w:cs="Arial"/>
                            <w:szCs w:val="22"/>
                          </w:rPr>
                          <w:t>ocmw</w:t>
                        </w:r>
                        <w:proofErr w:type="spellEnd"/>
                        <w:r w:rsidRPr="0085302B">
                          <w:rPr>
                            <w:rFonts w:cs="Arial"/>
                            <w:szCs w:val="22"/>
                          </w:rPr>
                          <w:t xml:space="preserve"> voorzitter</w:t>
                        </w:r>
                      </w:p>
                    </w:tc>
                  </w:tr>
                  <w:tr w:rsidR="004439AD" w:rsidTr="00BF4BA5">
                    <w:tc>
                      <w:tcPr>
                        <w:tcW w:w="5000" w:type="pct"/>
                        <w:tcMar>
                          <w:top w:w="0" w:type="dxa"/>
                          <w:left w:w="0" w:type="dxa"/>
                          <w:bottom w:w="0" w:type="dxa"/>
                          <w:right w:w="0" w:type="dxa"/>
                        </w:tcMar>
                        <w:hideMark/>
                      </w:tcPr>
                      <w:p w:rsidR="004439AD" w:rsidRPr="0085302B" w:rsidRDefault="00405319" w:rsidP="00EC4FC4">
                        <w:pPr>
                          <w:rPr>
                            <w:rFonts w:cs="Arial"/>
                            <w:szCs w:val="22"/>
                          </w:rPr>
                        </w:pPr>
                        <w:r w:rsidRPr="0085302B">
                          <w:rPr>
                            <w:rFonts w:cs="Arial"/>
                            <w:szCs w:val="22"/>
                          </w:rPr>
                          <w:t xml:space="preserve">Rigo Huyskens, Jos Voet, Gust Van den Bruel, Gunther Vleugels, Stef Mattheus, Nancy </w:t>
                        </w:r>
                        <w:proofErr w:type="spellStart"/>
                        <w:r w:rsidRPr="0085302B">
                          <w:rPr>
                            <w:rFonts w:cs="Arial"/>
                            <w:szCs w:val="22"/>
                          </w:rPr>
                          <w:t>Anthone</w:t>
                        </w:r>
                        <w:proofErr w:type="spellEnd"/>
                        <w:r w:rsidRPr="0085302B">
                          <w:rPr>
                            <w:rFonts w:cs="Arial"/>
                            <w:szCs w:val="22"/>
                          </w:rPr>
                          <w:t>, Elias De Wever, Saskia Luyten, Kurt Albert, Jean-Paul Thys, Sofie Van Lommel, Luc Van den Vonder, Bart Ceulemans</w:t>
                        </w:r>
                        <w:r w:rsidRPr="0085302B">
                          <w:rPr>
                            <w:rFonts w:cs="Arial"/>
                            <w:szCs w:val="22"/>
                          </w:rPr>
                          <w:t>, Kurt Winkelmans, Frank Ponsaert, Geert Vermunicht: raadsleden</w:t>
                        </w:r>
                      </w:p>
                    </w:tc>
                  </w:tr>
                  <w:tr w:rsidR="004439AD" w:rsidTr="00BF4BA5">
                    <w:tc>
                      <w:tcPr>
                        <w:tcW w:w="5000" w:type="pct"/>
                        <w:tcMar>
                          <w:top w:w="0" w:type="dxa"/>
                          <w:left w:w="0" w:type="dxa"/>
                          <w:bottom w:w="0" w:type="dxa"/>
                          <w:right w:w="0" w:type="dxa"/>
                        </w:tcMar>
                      </w:tcPr>
                      <w:p w:rsidR="004439AD" w:rsidRPr="0085302B" w:rsidRDefault="00405319" w:rsidP="00EC4FC4">
                        <w:pPr>
                          <w:rPr>
                            <w:rFonts w:cs="Arial"/>
                            <w:szCs w:val="22"/>
                          </w:rPr>
                        </w:pPr>
                        <w:r w:rsidRPr="0085302B">
                          <w:rPr>
                            <w:rFonts w:cs="Arial"/>
                            <w:szCs w:val="22"/>
                          </w:rPr>
                          <w:t>Jef Van Hoof: vertrouwenspersoon</w:t>
                        </w:r>
                      </w:p>
                    </w:tc>
                  </w:tr>
                  <w:tr w:rsidR="004439AD" w:rsidTr="00BF4BA5">
                    <w:tc>
                      <w:tcPr>
                        <w:tcW w:w="5000" w:type="pct"/>
                        <w:tcMar>
                          <w:top w:w="0" w:type="dxa"/>
                          <w:left w:w="0" w:type="dxa"/>
                          <w:bottom w:w="0" w:type="dxa"/>
                          <w:right w:w="0" w:type="dxa"/>
                        </w:tcMar>
                      </w:tcPr>
                      <w:p w:rsidR="004439AD" w:rsidRPr="0085302B" w:rsidRDefault="00405319" w:rsidP="00EC4FC4">
                        <w:pPr>
                          <w:rPr>
                            <w:rFonts w:cs="Arial"/>
                            <w:szCs w:val="22"/>
                          </w:rPr>
                        </w:pPr>
                        <w:r w:rsidRPr="0085302B">
                          <w:rPr>
                            <w:rFonts w:cs="Arial"/>
                            <w:szCs w:val="22"/>
                          </w:rPr>
                          <w:t>Rob Goris: secretaris</w:t>
                        </w:r>
                      </w:p>
                    </w:tc>
                  </w:tr>
                </w:tbl>
                <w:p w:rsidR="004439AD" w:rsidRPr="0085302B" w:rsidRDefault="004439AD" w:rsidP="00EC4FC4">
                  <w:pPr>
                    <w:rPr>
                      <w:rFonts w:cs="Arial"/>
                      <w:szCs w:val="22"/>
                    </w:rPr>
                  </w:pPr>
                </w:p>
              </w:tc>
            </w:tr>
          </w:tbl>
          <w:p w:rsidR="004439AD" w:rsidRDefault="004439AD"/>
        </w:tc>
      </w:tr>
    </w:tbl>
    <w:p w:rsidR="002A29E1" w:rsidRPr="00473850" w:rsidRDefault="00405319" w:rsidP="00751014">
      <w:pPr>
        <w:rPr>
          <w:szCs w:val="22"/>
        </w:rPr>
      </w:pPr>
    </w:p>
    <w:p w:rsidR="004A7373" w:rsidRDefault="00405319" w:rsidP="00C878A5">
      <w:pPr>
        <w:jc w:val="both"/>
      </w:pPr>
      <w:r w:rsidRPr="00F90426">
        <w:rPr>
          <w:b/>
        </w:rPr>
        <w:t>BESLISSING: Cultuur. Goedkeuring reglement wijk- en buurtfeesten.</w:t>
      </w:r>
    </w:p>
    <w:p w:rsidR="004A7373" w:rsidRDefault="00405319" w:rsidP="00C878A5">
      <w:pPr>
        <w:jc w:val="both"/>
      </w:pPr>
    </w:p>
    <w:p w:rsidR="004439AD" w:rsidRDefault="00405319">
      <w:pPr>
        <w:pStyle w:val="Normal1"/>
        <w:jc w:val="both"/>
        <w:rPr>
          <w:b/>
        </w:rPr>
      </w:pPr>
      <w:r>
        <w:rPr>
          <w:b/>
        </w:rPr>
        <w:t>Voorgeschiedenis</w:t>
      </w:r>
    </w:p>
    <w:p w:rsidR="004439AD" w:rsidRDefault="00405319">
      <w:pPr>
        <w:pStyle w:val="Normal1"/>
        <w:numPr>
          <w:ilvl w:val="0"/>
          <w:numId w:val="1"/>
        </w:numPr>
        <w:jc w:val="both"/>
      </w:pPr>
      <w:r>
        <w:t xml:space="preserve">17 december 2013: Gemeenteraadsbeslissing over de goedkeuring van het meerjarenplan 2014-2019 en het budget 2014 van de gemeente Hulshout. </w:t>
      </w:r>
    </w:p>
    <w:p w:rsidR="004439AD" w:rsidRDefault="00405319">
      <w:pPr>
        <w:pStyle w:val="Normal1"/>
        <w:numPr>
          <w:ilvl w:val="0"/>
          <w:numId w:val="1"/>
        </w:numPr>
        <w:jc w:val="both"/>
      </w:pPr>
      <w:r>
        <w:t>29 april 2014: Brief van het Agentschap Sociaal-Cultureel Werk betreffende de strategische meerjarenplanning 2014-20</w:t>
      </w:r>
      <w:r>
        <w:t xml:space="preserve">19 en toekenning van de bijhorende subsidies. </w:t>
      </w:r>
    </w:p>
    <w:p w:rsidR="004439AD" w:rsidRDefault="00405319">
      <w:pPr>
        <w:pStyle w:val="Normal1"/>
        <w:jc w:val="both"/>
        <w:rPr>
          <w:b/>
        </w:rPr>
      </w:pPr>
      <w:r>
        <w:rPr>
          <w:b/>
        </w:rPr>
        <w:t>Feiten en context</w:t>
      </w:r>
    </w:p>
    <w:p w:rsidR="004439AD" w:rsidRDefault="00405319">
      <w:pPr>
        <w:pStyle w:val="Normal1"/>
        <w:numPr>
          <w:ilvl w:val="0"/>
          <w:numId w:val="2"/>
        </w:numPr>
        <w:jc w:val="both"/>
        <w:rPr>
          <w:b/>
        </w:rPr>
      </w:pPr>
      <w:r>
        <w:t>Dit reglement is gekoppeld aan actie 001.002.002.001 De gemeente geeft projectsubsidies aan socio-culturele / jeugd- / sportverenigingen (sleutel 0709/64930000).</w:t>
      </w:r>
    </w:p>
    <w:p w:rsidR="004439AD" w:rsidRDefault="00405319">
      <w:pPr>
        <w:pStyle w:val="Normal1"/>
        <w:jc w:val="both"/>
        <w:rPr>
          <w:b/>
        </w:rPr>
      </w:pPr>
      <w:r>
        <w:rPr>
          <w:b/>
        </w:rPr>
        <w:t>Juridische gronden</w:t>
      </w:r>
    </w:p>
    <w:p w:rsidR="004439AD" w:rsidRDefault="00405319">
      <w:pPr>
        <w:pStyle w:val="Normal1"/>
        <w:numPr>
          <w:ilvl w:val="0"/>
          <w:numId w:val="3"/>
        </w:numPr>
        <w:jc w:val="both"/>
      </w:pPr>
      <w:r>
        <w:t xml:space="preserve">15 juli </w:t>
      </w:r>
      <w:r>
        <w:t>2005: Gemeentedecreet en latere wijzigingen.</w:t>
      </w:r>
    </w:p>
    <w:p w:rsidR="004439AD" w:rsidRDefault="00405319">
      <w:pPr>
        <w:pStyle w:val="Normal1"/>
        <w:numPr>
          <w:ilvl w:val="0"/>
          <w:numId w:val="3"/>
        </w:numPr>
        <w:jc w:val="both"/>
      </w:pPr>
      <w:r>
        <w:t>6 juli 2012: Decreet Lokaal Cultuurbeleid, houdende het stimuleren van een kwalitatief en integraal cultuurbeleid en latere wijzingen.</w:t>
      </w:r>
    </w:p>
    <w:p w:rsidR="004439AD" w:rsidRDefault="00405319">
      <w:pPr>
        <w:pStyle w:val="Normal1"/>
        <w:numPr>
          <w:ilvl w:val="0"/>
          <w:numId w:val="3"/>
        </w:numPr>
        <w:jc w:val="both"/>
      </w:pPr>
      <w:r>
        <w:t>26 oktober 2012: Besluit van de Vlaamse regering ter uitvoering van het decr</w:t>
      </w:r>
      <w:r>
        <w:t>eet van 6 juli 2012 betreffende het Lokaal Cultuurbeleid.</w:t>
      </w:r>
    </w:p>
    <w:p w:rsidR="004439AD" w:rsidRDefault="00405319">
      <w:pPr>
        <w:pStyle w:val="Normal1"/>
        <w:jc w:val="both"/>
        <w:rPr>
          <w:b/>
        </w:rPr>
      </w:pPr>
      <w:r>
        <w:rPr>
          <w:b/>
        </w:rPr>
        <w:t>Adviezen</w:t>
      </w:r>
    </w:p>
    <w:p w:rsidR="004439AD" w:rsidRDefault="00405319">
      <w:pPr>
        <w:pStyle w:val="Normal1"/>
        <w:numPr>
          <w:ilvl w:val="0"/>
          <w:numId w:val="4"/>
        </w:numPr>
        <w:jc w:val="both"/>
      </w:pPr>
      <w:r>
        <w:t>6 mei 2014: Geen advies GAPH wegens geen definitieve ontwerpreglementen beschikbaar.</w:t>
      </w:r>
    </w:p>
    <w:p w:rsidR="004439AD" w:rsidRDefault="00405319">
      <w:pPr>
        <w:pStyle w:val="Normal1"/>
        <w:numPr>
          <w:ilvl w:val="0"/>
          <w:numId w:val="4"/>
        </w:numPr>
        <w:jc w:val="both"/>
      </w:pPr>
      <w:r>
        <w:t>9 mei 2014: Gunstig advies seniorencommissie.</w:t>
      </w:r>
    </w:p>
    <w:p w:rsidR="004439AD" w:rsidRDefault="00405319">
      <w:pPr>
        <w:pStyle w:val="Normal1"/>
        <w:numPr>
          <w:ilvl w:val="0"/>
          <w:numId w:val="4"/>
        </w:numPr>
        <w:jc w:val="both"/>
      </w:pPr>
      <w:r>
        <w:t>21 mei 2014: Gunstig advies cultuurraad.</w:t>
      </w:r>
    </w:p>
    <w:p w:rsidR="004439AD" w:rsidRDefault="00405319">
      <w:pPr>
        <w:pStyle w:val="Normal1"/>
        <w:jc w:val="both"/>
        <w:rPr>
          <w:b/>
        </w:rPr>
      </w:pPr>
      <w:r>
        <w:rPr>
          <w:b/>
        </w:rPr>
        <w:t>Argumentatie</w:t>
      </w:r>
    </w:p>
    <w:p w:rsidR="004439AD" w:rsidRDefault="00405319">
      <w:pPr>
        <w:pStyle w:val="Normal1"/>
        <w:jc w:val="both"/>
      </w:pPr>
      <w:r>
        <w:t>De d</w:t>
      </w:r>
      <w:r>
        <w:t>ienst cultuur geeft positief advies. Door het voorzien van een subsidie voor wijk- en buurtfeesten willen wij bewonersgroepen binnen onze gemeente aanmoedigen om een wijk- of buurtfeest te organiseren en zo sociale contacten tussen onze inwoners te bevorde</w:t>
      </w:r>
      <w:r>
        <w:t>ren. Dit reglement tracht gemeenschapsvorming binnen onze gemeente te stimuleren.</w:t>
      </w:r>
    </w:p>
    <w:p w:rsidR="00E47726" w:rsidRDefault="00405319" w:rsidP="00E47726">
      <w:pPr>
        <w:jc w:val="both"/>
        <w:rPr>
          <w:rFonts w:cs="Arial"/>
        </w:rPr>
      </w:pPr>
    </w:p>
    <w:p w:rsidR="004439AD" w:rsidRDefault="00405319" w:rsidP="00FC15AF">
      <w:pPr>
        <w:tabs>
          <w:tab w:val="left" w:pos="1418"/>
        </w:tabs>
        <w:ind w:left="1418" w:hanging="1418"/>
        <w:rPr>
          <w:rFonts w:cs="Arial"/>
        </w:rPr>
      </w:pPr>
      <w:r w:rsidRPr="00FC15AF">
        <w:rPr>
          <w:b/>
        </w:rPr>
        <w:t>BESLUIT:</w:t>
      </w:r>
      <w:r>
        <w:tab/>
        <w:t>unaniem</w:t>
      </w:r>
      <w:r>
        <w:br/>
      </w:r>
    </w:p>
    <w:p w:rsidR="004439AD" w:rsidRDefault="00405319">
      <w:pPr>
        <w:pStyle w:val="Normal1"/>
        <w:jc w:val="both"/>
      </w:pPr>
      <w:r>
        <w:rPr>
          <w:u w:val="single"/>
        </w:rPr>
        <w:t>Artikel 1:</w:t>
      </w:r>
    </w:p>
    <w:p w:rsidR="004439AD" w:rsidRDefault="00405319">
      <w:pPr>
        <w:pStyle w:val="Normal1"/>
        <w:jc w:val="both"/>
      </w:pPr>
      <w:r>
        <w:t>De gemeenteraad beslist het reglement voor wijk- en buurtfeesten te bekrachtigen. Het reglement luidt als volgt:</w:t>
      </w:r>
    </w:p>
    <w:p w:rsidR="004439AD" w:rsidRDefault="00405319">
      <w:pPr>
        <w:pStyle w:val="Normal1"/>
        <w:jc w:val="both"/>
        <w:rPr>
          <w:b/>
          <w:i/>
        </w:rPr>
      </w:pPr>
      <w:r>
        <w:rPr>
          <w:b/>
          <w:i/>
        </w:rPr>
        <w:t>Artikel 1. Doelstelling</w:t>
      </w:r>
    </w:p>
    <w:p w:rsidR="004439AD" w:rsidRDefault="00405319">
      <w:pPr>
        <w:pStyle w:val="Normal1"/>
        <w:jc w:val="both"/>
        <w:rPr>
          <w:i/>
        </w:rPr>
      </w:pPr>
      <w:r>
        <w:rPr>
          <w:i/>
        </w:rPr>
        <w:t>Het gem</w:t>
      </w:r>
      <w:r>
        <w:rPr>
          <w:i/>
        </w:rPr>
        <w:t>eentebestuur van Hulshout erkent het belang van een hecht sociaal weefsel in straten, buurten en wijken en wil de bewoners kansen bieden om initiatieven te nemen. Dit reglement voorziet in logistieke en financiële ondersteuning van projecten die als doel h</w:t>
      </w:r>
      <w:r>
        <w:rPr>
          <w:i/>
        </w:rPr>
        <w:t>ebben de sociale contacten in een straat, buurt, wijk, plein,… te bevorderen.</w:t>
      </w:r>
    </w:p>
    <w:p w:rsidR="004439AD" w:rsidRDefault="00405319">
      <w:pPr>
        <w:pStyle w:val="Normal1"/>
        <w:jc w:val="both"/>
        <w:rPr>
          <w:b/>
          <w:i/>
        </w:rPr>
      </w:pPr>
      <w:r>
        <w:rPr>
          <w:b/>
          <w:i/>
        </w:rPr>
        <w:t>Artikel 2. Doelgroep</w:t>
      </w:r>
    </w:p>
    <w:p w:rsidR="004439AD" w:rsidRDefault="00405319">
      <w:pPr>
        <w:pStyle w:val="Normal1"/>
        <w:jc w:val="both"/>
        <w:rPr>
          <w:i/>
        </w:rPr>
      </w:pPr>
      <w:r>
        <w:rPr>
          <w:i/>
        </w:rPr>
        <w:lastRenderedPageBreak/>
        <w:t>Elke bewonersgroep die een wijk- of buurtfeest wil organiseren, komt in aanmerking voor ondersteuning. De buurt kan zich beperken tot één of meerdere volledi</w:t>
      </w:r>
      <w:r>
        <w:rPr>
          <w:i/>
        </w:rPr>
        <w:t>ge straten, of een duidelijk afgebakend gedeelte ervan met een minimum van tien woningen die een aaneengesloten geheel vormen. Indien een volledige straat minder dan tien woningen telt, moet het project zich richten naar alle bewoners van de straat.</w:t>
      </w:r>
    </w:p>
    <w:p w:rsidR="004439AD" w:rsidRDefault="00405319">
      <w:pPr>
        <w:pStyle w:val="Normal1"/>
        <w:jc w:val="both"/>
        <w:rPr>
          <w:i/>
        </w:rPr>
      </w:pPr>
      <w:r>
        <w:rPr>
          <w:i/>
        </w:rPr>
        <w:t>Buurtf</w:t>
      </w:r>
      <w:r>
        <w:rPr>
          <w:i/>
        </w:rPr>
        <w:t>eesten die vallen in de periode waarin men beroep kan doen op de feestcheques van de Vlaamse overheid in het kader van Vlaanderen Feest, zijn uitgesloten. Bij het indienen van deze subsidieaanvraag kan desgewenst de ondersteuning van de cultuurdienst worde</w:t>
      </w:r>
      <w:r>
        <w:rPr>
          <w:i/>
        </w:rPr>
        <w:t>n bekomen.</w:t>
      </w:r>
    </w:p>
    <w:p w:rsidR="004439AD" w:rsidRDefault="00405319">
      <w:pPr>
        <w:pStyle w:val="Normal1"/>
        <w:jc w:val="both"/>
        <w:rPr>
          <w:i/>
        </w:rPr>
      </w:pPr>
      <w:r>
        <w:rPr>
          <w:b/>
          <w:i/>
        </w:rPr>
        <w:t>Artikel 3. Voorwaarden</w:t>
      </w:r>
    </w:p>
    <w:p w:rsidR="004439AD" w:rsidRDefault="00405319">
      <w:pPr>
        <w:pStyle w:val="Normal1"/>
        <w:jc w:val="both"/>
        <w:rPr>
          <w:i/>
        </w:rPr>
      </w:pPr>
      <w:r>
        <w:rPr>
          <w:i/>
        </w:rPr>
        <w:t>Dit reglement voorziet een tussenkomst voor projecten georganiseerd door bewonersgroepen. Deze projecten moeten aan de volgende voorwaarden voldoen:</w:t>
      </w:r>
    </w:p>
    <w:p w:rsidR="004439AD" w:rsidRDefault="00405319">
      <w:pPr>
        <w:pStyle w:val="Normal1"/>
        <w:jc w:val="both"/>
        <w:rPr>
          <w:i/>
        </w:rPr>
      </w:pPr>
      <w:r>
        <w:rPr>
          <w:i/>
        </w:rPr>
        <w:t xml:space="preserve">• Het project moet georganiseerd worden op het grondgebied van de </w:t>
      </w:r>
      <w:r>
        <w:rPr>
          <w:i/>
        </w:rPr>
        <w:t>gemeente Hulshout;</w:t>
      </w:r>
    </w:p>
    <w:p w:rsidR="004439AD" w:rsidRDefault="00405319">
      <w:pPr>
        <w:pStyle w:val="Normal1"/>
        <w:jc w:val="both"/>
        <w:rPr>
          <w:i/>
        </w:rPr>
      </w:pPr>
      <w:r>
        <w:rPr>
          <w:i/>
        </w:rPr>
        <w:t xml:space="preserve">• De aanvraag gebeurt door minstens drie meerderjarige initiatiefnemers, gedomicilieerd op verschillende adressen binnen het afgebakend gebied. Indien de aanvraag meerdere straten omvat, dient per straat minstens één bewoner de aanvraag </w:t>
      </w:r>
      <w:r>
        <w:rPr>
          <w:i/>
        </w:rPr>
        <w:t>mee te ondertekenen.</w:t>
      </w:r>
    </w:p>
    <w:p w:rsidR="004439AD" w:rsidRDefault="00405319">
      <w:pPr>
        <w:pStyle w:val="Normal1"/>
        <w:jc w:val="both"/>
        <w:rPr>
          <w:i/>
        </w:rPr>
      </w:pPr>
      <w:r>
        <w:rPr>
          <w:i/>
        </w:rPr>
        <w:t>• Het project moet zich richten tot alle bewoners van de buurt waarop het initiatief zich richt zoals beschreven in ‘Artikel 2. Doelgroep’ ongeacht hun politieke, religieuze of filosofische overtuigingen en ongeacht hun persoonlijke si</w:t>
      </w:r>
      <w:r>
        <w:rPr>
          <w:i/>
        </w:rPr>
        <w:t>tuatie;</w:t>
      </w:r>
    </w:p>
    <w:p w:rsidR="004439AD" w:rsidRDefault="00405319">
      <w:pPr>
        <w:pStyle w:val="Normal1"/>
        <w:jc w:val="both"/>
        <w:rPr>
          <w:i/>
        </w:rPr>
      </w:pPr>
      <w:r>
        <w:rPr>
          <w:i/>
        </w:rPr>
        <w:t>• Alle bewoners van de buurt waarop het project zich richt, zoals beschreven in ‘Artikel 2. Doelgroep’ moeten schriftelijk uitgenodigd worden met de vermelding van het programma van het evenement;</w:t>
      </w:r>
    </w:p>
    <w:p w:rsidR="004439AD" w:rsidRDefault="00405319">
      <w:pPr>
        <w:pStyle w:val="Normal1"/>
        <w:jc w:val="both"/>
        <w:rPr>
          <w:i/>
        </w:rPr>
      </w:pPr>
      <w:r>
        <w:rPr>
          <w:i/>
        </w:rPr>
        <w:t xml:space="preserve">• In alle promotie van het feest moet de steun van </w:t>
      </w:r>
      <w:r>
        <w:rPr>
          <w:i/>
        </w:rPr>
        <w:t>de gemeente vermeld worden. Volgende initiatieven of projecten komen niet in aanmerking voor tussenkomst op basis van dit reglement:</w:t>
      </w:r>
    </w:p>
    <w:p w:rsidR="004439AD" w:rsidRDefault="00405319">
      <w:pPr>
        <w:pStyle w:val="Normal1"/>
        <w:ind w:left="850"/>
        <w:jc w:val="both"/>
        <w:rPr>
          <w:i/>
        </w:rPr>
      </w:pPr>
      <w:r>
        <w:rPr>
          <w:i/>
        </w:rPr>
        <w:t>• Privéfeesten, met uitzondering van de doelgroep waarop dit reglement van toepassing is</w:t>
      </w:r>
    </w:p>
    <w:p w:rsidR="004439AD" w:rsidRDefault="00405319">
      <w:pPr>
        <w:pStyle w:val="Normal1"/>
        <w:ind w:left="850"/>
        <w:jc w:val="both"/>
        <w:rPr>
          <w:i/>
        </w:rPr>
      </w:pPr>
      <w:r>
        <w:rPr>
          <w:i/>
        </w:rPr>
        <w:t>• Buurtfeesten waar slechts een kl</w:t>
      </w:r>
      <w:r>
        <w:rPr>
          <w:i/>
        </w:rPr>
        <w:t>eine fractie van de bewoners aan deelneemt</w:t>
      </w:r>
    </w:p>
    <w:p w:rsidR="004439AD" w:rsidRDefault="00405319">
      <w:pPr>
        <w:pStyle w:val="Normal1"/>
        <w:ind w:left="850"/>
        <w:jc w:val="both"/>
        <w:rPr>
          <w:i/>
        </w:rPr>
      </w:pPr>
      <w:r>
        <w:rPr>
          <w:i/>
        </w:rPr>
        <w:t>• Familiefeesten</w:t>
      </w:r>
    </w:p>
    <w:p w:rsidR="004439AD" w:rsidRDefault="00405319">
      <w:pPr>
        <w:pStyle w:val="Normal1"/>
        <w:ind w:left="850"/>
        <w:jc w:val="both"/>
        <w:rPr>
          <w:i/>
        </w:rPr>
      </w:pPr>
      <w:r>
        <w:rPr>
          <w:i/>
        </w:rPr>
        <w:t>• Schoolfeesten</w:t>
      </w:r>
    </w:p>
    <w:p w:rsidR="004439AD" w:rsidRDefault="00405319">
      <w:pPr>
        <w:pStyle w:val="Normal1"/>
        <w:ind w:left="850"/>
        <w:jc w:val="both"/>
        <w:rPr>
          <w:i/>
        </w:rPr>
      </w:pPr>
      <w:r>
        <w:rPr>
          <w:i/>
        </w:rPr>
        <w:t>• Feesten van vzw’s, vennootschappen of verenigingen met een ander hoofddoel dan het bevorderen van sociale contacten binnen een buurt</w:t>
      </w:r>
    </w:p>
    <w:p w:rsidR="004439AD" w:rsidRDefault="00405319">
      <w:pPr>
        <w:pStyle w:val="Normal1"/>
        <w:ind w:left="850"/>
        <w:jc w:val="both"/>
        <w:rPr>
          <w:i/>
        </w:rPr>
      </w:pPr>
      <w:r>
        <w:rPr>
          <w:i/>
        </w:rPr>
        <w:t>• Feesten met een politiek, religieus, filoso</w:t>
      </w:r>
      <w:r>
        <w:rPr>
          <w:i/>
        </w:rPr>
        <w:t>fisch of commercieel karakter</w:t>
      </w:r>
    </w:p>
    <w:p w:rsidR="004439AD" w:rsidRDefault="00405319">
      <w:pPr>
        <w:pStyle w:val="Normal1"/>
        <w:ind w:left="850"/>
        <w:jc w:val="both"/>
        <w:rPr>
          <w:i/>
        </w:rPr>
      </w:pPr>
      <w:r>
        <w:rPr>
          <w:i/>
        </w:rPr>
        <w:t>• Feesten met een winstgevend doel</w:t>
      </w:r>
    </w:p>
    <w:p w:rsidR="004439AD" w:rsidRDefault="00405319">
      <w:pPr>
        <w:pStyle w:val="Normal1"/>
        <w:ind w:left="850"/>
        <w:jc w:val="both"/>
        <w:rPr>
          <w:i/>
        </w:rPr>
      </w:pPr>
      <w:r>
        <w:rPr>
          <w:i/>
        </w:rPr>
        <w:t>• Buurtkermissen</w:t>
      </w:r>
    </w:p>
    <w:p w:rsidR="004439AD" w:rsidRDefault="00405319">
      <w:pPr>
        <w:pStyle w:val="Normal1"/>
        <w:jc w:val="both"/>
        <w:rPr>
          <w:i/>
        </w:rPr>
      </w:pPr>
      <w:r>
        <w:rPr>
          <w:i/>
        </w:rPr>
        <w:t>Eenzelfde bewonersgroep kan slechts eenmaal per kalenderjaar beroep doen op deze subsidie.</w:t>
      </w:r>
    </w:p>
    <w:p w:rsidR="004439AD" w:rsidRDefault="00405319">
      <w:pPr>
        <w:pStyle w:val="Normal1"/>
        <w:jc w:val="both"/>
        <w:rPr>
          <w:b/>
          <w:i/>
        </w:rPr>
      </w:pPr>
      <w:r>
        <w:rPr>
          <w:b/>
          <w:i/>
        </w:rPr>
        <w:t>Artikel 4. Aanvraagprocedure</w:t>
      </w:r>
    </w:p>
    <w:p w:rsidR="004439AD" w:rsidRDefault="00405319">
      <w:pPr>
        <w:pStyle w:val="Normal1"/>
        <w:jc w:val="both"/>
        <w:rPr>
          <w:i/>
        </w:rPr>
      </w:pPr>
      <w:r>
        <w:rPr>
          <w:i/>
        </w:rPr>
        <w:t>Elke aanvraag moet gericht worden aan de cultuurdienst</w:t>
      </w:r>
      <w:r>
        <w:rPr>
          <w:i/>
        </w:rPr>
        <w:t xml:space="preserve"> via het standaard aanvraagformulier. De aanvraag moet ten laatste één maand voor het evenement ingediend worden en ten vroegste in december van het eraan voorafgaande jaar. </w:t>
      </w:r>
    </w:p>
    <w:p w:rsidR="004439AD" w:rsidRDefault="00405319">
      <w:pPr>
        <w:pStyle w:val="Normal1"/>
        <w:jc w:val="both"/>
        <w:rPr>
          <w:i/>
        </w:rPr>
      </w:pPr>
      <w:r>
        <w:rPr>
          <w:i/>
        </w:rPr>
        <w:t>De aanvragen worden behandeld in volgorde van ontvangst en kunnen slechts aanvaar</w:t>
      </w:r>
      <w:r>
        <w:rPr>
          <w:i/>
        </w:rPr>
        <w:t>d worden indien het voor deze ondersteuning voorziene jaarbudget niet werd overschreden.</w:t>
      </w:r>
    </w:p>
    <w:p w:rsidR="004439AD" w:rsidRDefault="00405319">
      <w:pPr>
        <w:pStyle w:val="Normal1"/>
        <w:jc w:val="both"/>
        <w:rPr>
          <w:i/>
        </w:rPr>
      </w:pPr>
      <w:r>
        <w:rPr>
          <w:i/>
        </w:rPr>
        <w:t>Indien het initiatief gewijzigd wordt of niet doorgaat, delen de initiatiefnemers dit onmiddellijk schriftelijk mee aan de cultuurdienst. Bij niet-melding kan uitsluit</w:t>
      </w:r>
      <w:r>
        <w:rPr>
          <w:i/>
        </w:rPr>
        <w:t>ing volgen zoals beschreven in ‘Artikel 8. Uitsluiting’.</w:t>
      </w:r>
    </w:p>
    <w:p w:rsidR="004439AD" w:rsidRDefault="00405319">
      <w:pPr>
        <w:pStyle w:val="Normal1"/>
        <w:jc w:val="both"/>
        <w:rPr>
          <w:b/>
          <w:i/>
        </w:rPr>
      </w:pPr>
      <w:r>
        <w:rPr>
          <w:b/>
          <w:i/>
        </w:rPr>
        <w:t>Artikel 5. Ondersteuning vanuit de gemeente</w:t>
      </w:r>
    </w:p>
    <w:p w:rsidR="004439AD" w:rsidRDefault="00405319">
      <w:pPr>
        <w:pStyle w:val="Normal1"/>
        <w:jc w:val="both"/>
        <w:rPr>
          <w:i/>
        </w:rPr>
      </w:pPr>
      <w:r>
        <w:rPr>
          <w:i/>
        </w:rPr>
        <w:t>Goedgekeurde projecten kunnen een subsidie bekomen van 70,00 euro als tegemoetkoming in de gemaakte kosten die samenhangen met de organisatie. Volgende onk</w:t>
      </w:r>
      <w:r>
        <w:rPr>
          <w:i/>
        </w:rPr>
        <w:t>osten komen in aanmerking:</w:t>
      </w:r>
    </w:p>
    <w:p w:rsidR="004439AD" w:rsidRDefault="00405319">
      <w:pPr>
        <w:pStyle w:val="Normal1"/>
        <w:jc w:val="both"/>
        <w:rPr>
          <w:i/>
        </w:rPr>
      </w:pPr>
      <w:r>
        <w:rPr>
          <w:i/>
        </w:rPr>
        <w:t>• Huur technische installatie (geluid, verlichting, …)</w:t>
      </w:r>
    </w:p>
    <w:p w:rsidR="004439AD" w:rsidRDefault="00405319">
      <w:pPr>
        <w:pStyle w:val="Normal1"/>
        <w:jc w:val="both"/>
        <w:rPr>
          <w:i/>
        </w:rPr>
      </w:pPr>
      <w:r>
        <w:rPr>
          <w:i/>
        </w:rPr>
        <w:t>• Huur infrastructuur en benodigdheden (mobiel toilet, tafels, stoelen, kookapparatuur, …)</w:t>
      </w:r>
    </w:p>
    <w:p w:rsidR="004439AD" w:rsidRDefault="00405319">
      <w:pPr>
        <w:pStyle w:val="Normal1"/>
        <w:jc w:val="both"/>
        <w:rPr>
          <w:i/>
        </w:rPr>
      </w:pPr>
      <w:r>
        <w:rPr>
          <w:i/>
        </w:rPr>
        <w:t>• Animatie (spelattractie, muzikanten, artiesten, …)</w:t>
      </w:r>
    </w:p>
    <w:p w:rsidR="004439AD" w:rsidRDefault="00405319">
      <w:pPr>
        <w:pStyle w:val="Normal1"/>
        <w:jc w:val="both"/>
        <w:rPr>
          <w:i/>
        </w:rPr>
      </w:pPr>
      <w:r>
        <w:rPr>
          <w:i/>
        </w:rPr>
        <w:t>• Niet-lokale heffingen en ver</w:t>
      </w:r>
      <w:r>
        <w:rPr>
          <w:i/>
        </w:rPr>
        <w:t>zekeringen (</w:t>
      </w:r>
      <w:proofErr w:type="spellStart"/>
      <w:r>
        <w:rPr>
          <w:i/>
        </w:rPr>
        <w:t>Sabam</w:t>
      </w:r>
      <w:proofErr w:type="spellEnd"/>
      <w:r>
        <w:rPr>
          <w:i/>
        </w:rPr>
        <w:t xml:space="preserve">, billijke </w:t>
      </w:r>
      <w:proofErr w:type="spellStart"/>
      <w:r>
        <w:rPr>
          <w:i/>
        </w:rPr>
        <w:t>vergoeding,aansprakelijkheidsverzekering</w:t>
      </w:r>
      <w:proofErr w:type="spellEnd"/>
      <w:r>
        <w:rPr>
          <w:i/>
        </w:rPr>
        <w:t>,…)</w:t>
      </w:r>
    </w:p>
    <w:p w:rsidR="004439AD" w:rsidRDefault="00405319">
      <w:pPr>
        <w:pStyle w:val="Normal1"/>
        <w:jc w:val="both"/>
        <w:rPr>
          <w:i/>
        </w:rPr>
      </w:pPr>
      <w:r>
        <w:rPr>
          <w:i/>
        </w:rPr>
        <w:t>• Promotie (uitnodigingen, affiches,…)</w:t>
      </w:r>
    </w:p>
    <w:p w:rsidR="004439AD" w:rsidRDefault="00405319">
      <w:pPr>
        <w:pStyle w:val="Normal1"/>
        <w:jc w:val="both"/>
        <w:rPr>
          <w:i/>
        </w:rPr>
      </w:pPr>
      <w:r>
        <w:rPr>
          <w:i/>
        </w:rPr>
        <w:t>• Voeding en dranken</w:t>
      </w:r>
    </w:p>
    <w:p w:rsidR="004439AD" w:rsidRDefault="00405319">
      <w:pPr>
        <w:pStyle w:val="Normal1"/>
        <w:jc w:val="both"/>
        <w:rPr>
          <w:i/>
        </w:rPr>
      </w:pPr>
      <w:r>
        <w:rPr>
          <w:i/>
        </w:rPr>
        <w:t>Onder meer volgende onkosten komen niet in aanmerking</w:t>
      </w:r>
    </w:p>
    <w:p w:rsidR="004439AD" w:rsidRDefault="00405319">
      <w:pPr>
        <w:pStyle w:val="Normal1"/>
        <w:jc w:val="both"/>
        <w:rPr>
          <w:i/>
        </w:rPr>
      </w:pPr>
      <w:r>
        <w:rPr>
          <w:i/>
        </w:rPr>
        <w:t>• Producten die doorverkocht worden aan de deelnemers</w:t>
      </w:r>
    </w:p>
    <w:p w:rsidR="004439AD" w:rsidRDefault="00405319">
      <w:pPr>
        <w:pStyle w:val="Normal1"/>
        <w:jc w:val="both"/>
        <w:rPr>
          <w:i/>
        </w:rPr>
      </w:pPr>
      <w:r>
        <w:rPr>
          <w:i/>
        </w:rPr>
        <w:lastRenderedPageBreak/>
        <w:t xml:space="preserve">• Aankoop van </w:t>
      </w:r>
      <w:r>
        <w:rPr>
          <w:i/>
        </w:rPr>
        <w:t>technische installatie, infrastructuur en benodigdheden.</w:t>
      </w:r>
    </w:p>
    <w:p w:rsidR="004439AD" w:rsidRDefault="00405319">
      <w:pPr>
        <w:pStyle w:val="Normal1"/>
        <w:jc w:val="both"/>
        <w:rPr>
          <w:b/>
          <w:i/>
        </w:rPr>
      </w:pPr>
      <w:r>
        <w:rPr>
          <w:b/>
          <w:i/>
        </w:rPr>
        <w:t>Artikel 6. Uitbetaling</w:t>
      </w:r>
    </w:p>
    <w:p w:rsidR="004439AD" w:rsidRDefault="00405319">
      <w:pPr>
        <w:pStyle w:val="Normal1"/>
        <w:jc w:val="both"/>
        <w:rPr>
          <w:i/>
        </w:rPr>
      </w:pPr>
      <w:r>
        <w:rPr>
          <w:i/>
        </w:rPr>
        <w:t>De toelage wordt na goedkeuring door het college van burgemeester en schepenen gestort op het door de initiatiefnemers opgegeven rekeningnummer.</w:t>
      </w:r>
    </w:p>
    <w:p w:rsidR="004439AD" w:rsidRDefault="00405319">
      <w:pPr>
        <w:pStyle w:val="Normal1"/>
        <w:jc w:val="both"/>
        <w:rPr>
          <w:b/>
          <w:i/>
        </w:rPr>
      </w:pPr>
      <w:r>
        <w:rPr>
          <w:b/>
          <w:i/>
        </w:rPr>
        <w:t>Artikel 7. Uitsluiting</w:t>
      </w:r>
    </w:p>
    <w:p w:rsidR="004439AD" w:rsidRDefault="00405319">
      <w:pPr>
        <w:pStyle w:val="Normal1"/>
        <w:jc w:val="both"/>
        <w:rPr>
          <w:i/>
        </w:rPr>
      </w:pPr>
      <w:r>
        <w:rPr>
          <w:i/>
        </w:rPr>
        <w:t>Het aanv</w:t>
      </w:r>
      <w:r>
        <w:rPr>
          <w:i/>
        </w:rPr>
        <w:t>raagformulier moet volledig en correct worden ingevuld. Het verstrekken van onvolledige of onjuiste gegevens kan aanleiding geven tot de terugvordering van een deel of het geheel van de toegekende subsidie en/of leiden tot uitsluiting van verdere subsidiër</w:t>
      </w:r>
      <w:r>
        <w:rPr>
          <w:i/>
        </w:rPr>
        <w:t>ing en/of uitlening van materiaal.</w:t>
      </w:r>
    </w:p>
    <w:p w:rsidR="004439AD" w:rsidRDefault="00405319">
      <w:pPr>
        <w:pStyle w:val="Normal1"/>
        <w:jc w:val="both"/>
        <w:rPr>
          <w:b/>
          <w:i/>
        </w:rPr>
      </w:pPr>
      <w:r>
        <w:rPr>
          <w:b/>
          <w:i/>
        </w:rPr>
        <w:t>Artikel 8. Inwerkingtreding</w:t>
      </w:r>
    </w:p>
    <w:p w:rsidR="004439AD" w:rsidRDefault="00405319">
      <w:pPr>
        <w:pStyle w:val="Normal1"/>
        <w:jc w:val="both"/>
        <w:rPr>
          <w:i/>
        </w:rPr>
      </w:pPr>
      <w:r>
        <w:rPr>
          <w:i/>
        </w:rPr>
        <w:t xml:space="preserve">Dit reglement treedt in werking vanaf 1 juli 2014. </w:t>
      </w:r>
    </w:p>
    <w:p w:rsidR="004439AD" w:rsidRDefault="00405319">
      <w:pPr>
        <w:pStyle w:val="Normal1"/>
        <w:jc w:val="both"/>
      </w:pPr>
      <w:r>
        <w:rPr>
          <w:u w:val="single"/>
        </w:rPr>
        <w:t>Artikel 2:</w:t>
      </w:r>
    </w:p>
    <w:p w:rsidR="004439AD" w:rsidRDefault="00405319">
      <w:pPr>
        <w:pStyle w:val="Normal1"/>
        <w:jc w:val="both"/>
      </w:pPr>
      <w:r>
        <w:t xml:space="preserve">Deze beslissing zal worden medegedeeld aan de voorzitter van de cultuurraad. </w:t>
      </w:r>
    </w:p>
    <w:p w:rsidR="004439AD" w:rsidRDefault="004439AD" w:rsidP="00C878A5">
      <w:pPr>
        <w:jc w:val="both"/>
        <w:rPr>
          <w:rFonts w:cs="Arial"/>
        </w:rPr>
      </w:pPr>
    </w:p>
    <w:p w:rsidR="001A1C76" w:rsidRDefault="00405319" w:rsidP="00542C28"/>
    <w:p w:rsidR="004A7373" w:rsidRDefault="00405319" w:rsidP="00542C28"/>
    <w:tbl>
      <w:tblPr>
        <w:tblStyle w:val="Tabelraster"/>
        <w:tblW w:w="5000" w:type="pct"/>
        <w:tblBorders>
          <w:top w:val="nil"/>
          <w:left w:val="nil"/>
          <w:bottom w:val="nil"/>
          <w:right w:val="nil"/>
          <w:insideH w:val="nil"/>
          <w:insideV w:val="nil"/>
        </w:tblBorders>
        <w:tblLook w:val="04A0" w:firstRow="1" w:lastRow="0" w:firstColumn="1" w:lastColumn="0" w:noHBand="0" w:noVBand="1"/>
      </w:tblPr>
      <w:tblGrid>
        <w:gridCol w:w="4932"/>
        <w:gridCol w:w="4932"/>
      </w:tblGrid>
      <w:tr w:rsidR="004439AD" w:rsidTr="00BF329A">
        <w:tc>
          <w:tcPr>
            <w:tcW w:w="5000" w:type="pct"/>
            <w:gridSpan w:val="2"/>
          </w:tcPr>
          <w:p w:rsidR="004A7373" w:rsidRDefault="00405319" w:rsidP="00B55B24">
            <w:pPr>
              <w:keepNext/>
              <w:keepLines/>
              <w:jc w:val="right"/>
              <w:rPr>
                <w:noProof/>
              </w:rPr>
            </w:pPr>
            <w:r w:rsidRPr="00CD0EB3">
              <w:rPr>
                <w:rFonts w:ascii="Calibri" w:hAnsi="Calibri" w:cs="Calibri"/>
                <w:szCs w:val="22"/>
              </w:rPr>
              <w:t xml:space="preserve">Namens </w:t>
            </w:r>
            <w:r>
              <w:rPr>
                <w:rFonts w:ascii="Calibri" w:hAnsi="Calibri" w:cs="Calibri"/>
                <w:szCs w:val="22"/>
              </w:rPr>
              <w:t>de gemeenteraad</w:t>
            </w:r>
          </w:p>
        </w:tc>
      </w:tr>
      <w:tr w:rsidR="004439AD" w:rsidTr="00BF329A">
        <w:tc>
          <w:tcPr>
            <w:tcW w:w="5000" w:type="pct"/>
            <w:gridSpan w:val="2"/>
          </w:tcPr>
          <w:p w:rsidR="004A7373" w:rsidRDefault="00405319" w:rsidP="004A7373">
            <w:pPr>
              <w:keepNext/>
              <w:keepLines/>
              <w:rPr>
                <w:noProof/>
              </w:rPr>
            </w:pPr>
            <w:r>
              <w:t>Bij verordening</w:t>
            </w:r>
          </w:p>
        </w:tc>
      </w:tr>
      <w:tr w:rsidR="004439AD" w:rsidTr="00BF329A">
        <w:tc>
          <w:tcPr>
            <w:tcW w:w="2500" w:type="pct"/>
            <w:tcBorders>
              <w:bottom w:val="nil"/>
            </w:tcBorders>
          </w:tcPr>
          <w:p w:rsidR="00446719" w:rsidRPr="00E0344D" w:rsidRDefault="00405319" w:rsidP="00446719">
            <w:pPr>
              <w:keepNext/>
              <w:keepLines/>
              <w:rPr>
                <w:noProof/>
              </w:rPr>
            </w:pPr>
            <w:r w:rsidRPr="00E0344D">
              <w:rPr>
                <w:noProof/>
              </w:rPr>
              <w:t xml:space="preserve">de </w:t>
            </w:r>
            <w:r w:rsidRPr="00E0344D">
              <w:rPr>
                <w:noProof/>
              </w:rPr>
              <w:t>secretaris</w:t>
            </w:r>
          </w:p>
          <w:p w:rsidR="004A7373" w:rsidRDefault="00405319" w:rsidP="00446719">
            <w:pPr>
              <w:keepNext/>
              <w:keepLines/>
            </w:pPr>
            <w:r>
              <w:rPr>
                <w:noProof/>
              </w:rPr>
              <w:t xml:space="preserve"> </w:t>
            </w:r>
            <w:r>
              <w:rPr>
                <w:noProof/>
              </w:rPr>
              <w:t>(get.)</w:t>
            </w:r>
          </w:p>
        </w:tc>
        <w:tc>
          <w:tcPr>
            <w:tcW w:w="2500" w:type="pct"/>
            <w:tcBorders>
              <w:bottom w:val="nil"/>
            </w:tcBorders>
          </w:tcPr>
          <w:p w:rsidR="003E3501" w:rsidRPr="00B73723" w:rsidRDefault="00405319" w:rsidP="004A7373">
            <w:pPr>
              <w:keepNext/>
              <w:keepLines/>
              <w:jc w:val="right"/>
              <w:rPr>
                <w:noProof/>
              </w:rPr>
            </w:pPr>
            <w:r>
              <w:rPr>
                <w:noProof/>
              </w:rPr>
              <w:t>d</w:t>
            </w:r>
            <w:r w:rsidRPr="00B73723">
              <w:rPr>
                <w:noProof/>
              </w:rPr>
              <w:t>e burgemeester-voorzitter</w:t>
            </w:r>
          </w:p>
          <w:p w:rsidR="004A7373" w:rsidRPr="00B73723" w:rsidRDefault="00405319" w:rsidP="004A7373">
            <w:pPr>
              <w:keepNext/>
              <w:keepLines/>
              <w:jc w:val="right"/>
            </w:pPr>
            <w:r w:rsidRPr="00B73723">
              <w:rPr>
                <w:noProof/>
              </w:rPr>
              <w:t>(get.)</w:t>
            </w:r>
          </w:p>
        </w:tc>
      </w:tr>
      <w:tr w:rsidR="004439AD" w:rsidTr="00BF329A">
        <w:tc>
          <w:tcPr>
            <w:tcW w:w="2500" w:type="pct"/>
            <w:tcBorders>
              <w:top w:val="nil"/>
              <w:left w:val="nil"/>
              <w:bottom w:val="dashSmallGap" w:sz="8" w:space="0" w:color="auto"/>
              <w:right w:val="nil"/>
            </w:tcBorders>
          </w:tcPr>
          <w:p w:rsidR="003E3501" w:rsidRDefault="00405319" w:rsidP="00EC29DE">
            <w:pPr>
              <w:keepNext/>
              <w:keepLines/>
            </w:pPr>
            <w:r w:rsidRPr="00E0344D">
              <w:rPr>
                <w:noProof/>
              </w:rPr>
              <w:t>Rob Goris</w:t>
            </w:r>
          </w:p>
        </w:tc>
        <w:tc>
          <w:tcPr>
            <w:tcW w:w="2500" w:type="pct"/>
            <w:tcBorders>
              <w:top w:val="nil"/>
              <w:left w:val="nil"/>
              <w:bottom w:val="dashSmallGap" w:sz="8" w:space="0" w:color="auto"/>
              <w:right w:val="nil"/>
            </w:tcBorders>
          </w:tcPr>
          <w:p w:rsidR="003E3501" w:rsidRPr="00B73723" w:rsidRDefault="00405319" w:rsidP="009A774D">
            <w:pPr>
              <w:keepNext/>
              <w:keepLines/>
              <w:jc w:val="right"/>
            </w:pPr>
            <w:r w:rsidRPr="00B73723">
              <w:rPr>
                <w:noProof/>
              </w:rPr>
              <w:t>Geert Daems</w:t>
            </w:r>
          </w:p>
        </w:tc>
      </w:tr>
      <w:tr w:rsidR="004439AD" w:rsidTr="00BF329A">
        <w:tc>
          <w:tcPr>
            <w:tcW w:w="5000" w:type="pct"/>
            <w:gridSpan w:val="2"/>
            <w:tcBorders>
              <w:top w:val="dashSmallGap" w:sz="8" w:space="0" w:color="auto"/>
            </w:tcBorders>
          </w:tcPr>
          <w:p w:rsidR="004A7373" w:rsidRDefault="00405319" w:rsidP="004A7373">
            <w:pPr>
              <w:keepNext/>
              <w:keepLines/>
              <w:jc w:val="right"/>
              <w:rPr>
                <w:noProof/>
              </w:rPr>
            </w:pPr>
            <w:r>
              <w:rPr>
                <w:noProof/>
              </w:rPr>
              <w:t>VOOR EENSLUIDEND UITTREKSEL</w:t>
            </w:r>
          </w:p>
        </w:tc>
      </w:tr>
      <w:tr w:rsidR="004439AD" w:rsidTr="00BF329A">
        <w:tc>
          <w:tcPr>
            <w:tcW w:w="5000" w:type="pct"/>
            <w:gridSpan w:val="2"/>
          </w:tcPr>
          <w:p w:rsidR="004A7373" w:rsidRDefault="00405319" w:rsidP="004A7373">
            <w:pPr>
              <w:keepNext/>
              <w:keepLines/>
              <w:rPr>
                <w:noProof/>
              </w:rPr>
            </w:pPr>
            <w:r>
              <w:rPr>
                <w:noProof/>
              </w:rPr>
              <w:t>Bij verordening</w:t>
            </w:r>
          </w:p>
        </w:tc>
      </w:tr>
      <w:tr w:rsidR="004439AD" w:rsidTr="00BF329A">
        <w:tc>
          <w:tcPr>
            <w:tcW w:w="2500" w:type="pct"/>
          </w:tcPr>
          <w:p w:rsidR="004A7373" w:rsidRPr="00091368" w:rsidRDefault="00405319" w:rsidP="004A7373">
            <w:pPr>
              <w:keepNext/>
              <w:keepLines/>
              <w:rPr>
                <w:szCs w:val="22"/>
              </w:rPr>
            </w:pPr>
            <w:r>
              <w:rPr>
                <w:szCs w:val="22"/>
                <w:lang w:val="nl-NL" w:eastAsia="nl-NL"/>
              </w:rPr>
              <w:t>de waarnemend secretaris</w:t>
            </w:r>
          </w:p>
        </w:tc>
        <w:tc>
          <w:tcPr>
            <w:tcW w:w="2500" w:type="pct"/>
          </w:tcPr>
          <w:p w:rsidR="004A7373" w:rsidRDefault="00405319" w:rsidP="004A7373">
            <w:pPr>
              <w:keepNext/>
              <w:keepLines/>
              <w:jc w:val="right"/>
              <w:rPr>
                <w:noProof/>
              </w:rPr>
            </w:pPr>
            <w:r>
              <w:rPr>
                <w:noProof/>
              </w:rPr>
              <w:t>de voorzitter gemeenteraad</w:t>
            </w:r>
          </w:p>
        </w:tc>
      </w:tr>
      <w:tr w:rsidR="004439AD" w:rsidTr="00BF329A">
        <w:tc>
          <w:tcPr>
            <w:tcW w:w="5000" w:type="pct"/>
            <w:gridSpan w:val="2"/>
          </w:tcPr>
          <w:p w:rsidR="004A7373" w:rsidRDefault="00405319" w:rsidP="004A7373">
            <w:pPr>
              <w:keepNext/>
              <w:keepLines/>
              <w:rPr>
                <w:noProof/>
              </w:rPr>
            </w:pPr>
          </w:p>
          <w:p w:rsidR="004A7373" w:rsidRDefault="00405319" w:rsidP="004A7373">
            <w:pPr>
              <w:keepNext/>
              <w:keepLines/>
              <w:rPr>
                <w:noProof/>
              </w:rPr>
            </w:pPr>
          </w:p>
          <w:p w:rsidR="004A7373" w:rsidRDefault="00405319" w:rsidP="004A7373">
            <w:pPr>
              <w:keepNext/>
              <w:keepLines/>
              <w:rPr>
                <w:noProof/>
              </w:rPr>
            </w:pPr>
          </w:p>
          <w:p w:rsidR="004A7373" w:rsidRDefault="00405319" w:rsidP="004A7373">
            <w:pPr>
              <w:keepNext/>
              <w:keepLines/>
              <w:rPr>
                <w:noProof/>
              </w:rPr>
            </w:pPr>
          </w:p>
        </w:tc>
      </w:tr>
      <w:tr w:rsidR="004439AD" w:rsidTr="00BF329A">
        <w:tc>
          <w:tcPr>
            <w:tcW w:w="2500" w:type="pct"/>
          </w:tcPr>
          <w:p w:rsidR="004A7373" w:rsidRPr="00091368" w:rsidRDefault="00405319" w:rsidP="004A7373">
            <w:pPr>
              <w:keepNext/>
              <w:keepLines/>
              <w:rPr>
                <w:szCs w:val="22"/>
              </w:rPr>
            </w:pPr>
            <w:r w:rsidRPr="00091368">
              <w:rPr>
                <w:szCs w:val="22"/>
              </w:rPr>
              <w:t>Tamara Van Hoof</w:t>
            </w:r>
          </w:p>
        </w:tc>
        <w:tc>
          <w:tcPr>
            <w:tcW w:w="2500" w:type="pct"/>
          </w:tcPr>
          <w:p w:rsidR="004A7373" w:rsidRDefault="00405319" w:rsidP="004A7373">
            <w:pPr>
              <w:keepNext/>
              <w:keepLines/>
              <w:jc w:val="right"/>
              <w:rPr>
                <w:noProof/>
              </w:rPr>
            </w:pPr>
            <w:r>
              <w:rPr>
                <w:noProof/>
              </w:rPr>
              <w:t>Geert Daems</w:t>
            </w:r>
          </w:p>
        </w:tc>
      </w:tr>
    </w:tbl>
    <w:p w:rsidR="004439AD" w:rsidRDefault="004439AD"/>
    <w:sectPr w:rsidR="004439AD" w:rsidSect="00376EC8">
      <w:pgSz w:w="11906" w:h="16838"/>
      <w:pgMar w:top="794" w:right="1021" w:bottom="454"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styleLink w:val="BulletList"/>
    <w:lvl w:ilvl="0">
      <w:start w:val="1"/>
      <w:numFmt w:val="bullet"/>
      <w:lvlText w:val="•"/>
      <w:lvlJc w:val="left"/>
      <w:pPr>
        <w:ind w:left="720" w:hanging="360"/>
      </w:pPr>
      <w:rPr>
        <w:rFonts w:ascii="Calibri" w:eastAsia="Calibri" w:hAnsi="Calibri" w:cs="Calibri"/>
      </w:r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9AD"/>
    <w:rsid w:val="00405319"/>
    <w:rsid w:val="004439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3179EB-7854-4B5C-9AE9-0A3B2966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E5689"/>
    <w:rPr>
      <w:rFonts w:asciiTheme="minorHAnsi" w:hAnsiTheme="minorHAnsi"/>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EF7B96"/>
    <w:pPr>
      <w:tabs>
        <w:tab w:val="center" w:pos="4677"/>
        <w:tab w:val="right" w:pos="9355"/>
      </w:tabs>
    </w:pPr>
  </w:style>
  <w:style w:type="table" w:styleId="Tabelraster">
    <w:name w:val="Table Grid"/>
    <w:basedOn w:val="Standaardtabel"/>
    <w:rsid w:val="00473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_1"/>
    <w:qFormat/>
    <w:pPr>
      <w:spacing w:line="276" w:lineRule="auto"/>
    </w:pPr>
    <w:rPr>
      <w:rFonts w:ascii="Calibri" w:hAnsi="Calibri" w:cs="Calibri"/>
      <w:sz w:val="22"/>
      <w:szCs w:val="22"/>
    </w:rPr>
  </w:style>
  <w:style w:type="character" w:customStyle="1" w:styleId="DefaultParagraphFont1">
    <w:name w:val="Default Paragraph Font_1"/>
    <w:uiPriority w:val="1"/>
    <w:semiHidden/>
    <w:unhideWhenUsed/>
    <w:rPr>
      <w:rFonts w:ascii="Calibri" w:hAnsi="Calibri" w:cs="Calibri"/>
    </w:rPr>
  </w:style>
  <w:style w:type="numbering" w:customStyle="1" w:styleId="BulletList">
    <w:name w:val="BulletList"/>
    <w:uiPriority w:val="34"/>
    <w:qFormat/>
    <w:pPr>
      <w:numPr>
        <w:numId w:val="1"/>
      </w:numPr>
    </w:pPr>
  </w:style>
  <w:style w:type="character" w:customStyle="1" w:styleId="DefaultParagraphFont2">
    <w:name w:val="Default Paragraph Font_2"/>
    <w:uiPriority w:val="1"/>
    <w:semiHidden/>
    <w:unhideWhenUse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6191</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Van Hoof</dc:creator>
  <cp:lastModifiedBy>Tamara Van Hoof</cp:lastModifiedBy>
  <cp:revision>2</cp:revision>
  <dcterms:created xsi:type="dcterms:W3CDTF">2018-02-01T10:43:00Z</dcterms:created>
  <dcterms:modified xsi:type="dcterms:W3CDTF">2018-02-01T10:43:00Z</dcterms:modified>
</cp:coreProperties>
</file>